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start="0"/>
        <w:jc w:val="end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</w:r>
    </w:p>
    <w:p>
      <w:pPr>
        <w:pStyle w:val="Normal"/>
        <w:spacing w:lineRule="auto" w:line="240" w:before="0" w:after="0"/>
        <w:ind w:firstLine="708"/>
        <w:jc w:val="end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>Приложение № 2</w:t>
      </w:r>
    </w:p>
    <w:p>
      <w:pPr>
        <w:pStyle w:val="Normal"/>
        <w:spacing w:lineRule="auto" w:line="240" w:before="0" w:after="0"/>
        <w:ind w:firstLine="708"/>
        <w:jc w:val="end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к муниципальной программе Тугулымского муниципального округа </w:t>
      </w:r>
    </w:p>
    <w:p>
      <w:pPr>
        <w:pStyle w:val="Normal"/>
        <w:spacing w:lineRule="auto" w:line="240" w:before="0" w:after="0"/>
        <w:ind w:firstLine="708"/>
        <w:jc w:val="end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«Дополнительные меры социальной поддержки населения </w:t>
      </w:r>
    </w:p>
    <w:p>
      <w:pPr>
        <w:pStyle w:val="Normal"/>
        <w:spacing w:lineRule="auto" w:line="240" w:before="0" w:after="0"/>
        <w:ind w:firstLine="708"/>
        <w:jc w:val="end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  <w:t xml:space="preserve">Тугулымского муниципального округа до 2027 года» </w:t>
      </w:r>
    </w:p>
    <w:p>
      <w:pPr>
        <w:pStyle w:val="Normal"/>
        <w:spacing w:lineRule="atLeast" w:line="0" w:before="0" w:after="0"/>
        <w:jc w:val="center"/>
        <w:rPr>
          <w:rFonts w:ascii="Times New Roman" w:hAnsi="Times New Roman" w:eastAsia="Times New Roman" w:cs="Times New Roman"/>
          <w:color w:val="000000"/>
          <w:spacing w:val="2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2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ПЛАН МЕРОПРИЯТИЙ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ПО ВЫПОЛНЕНИЮ МУНИЦИПАЛЬНОЙ ПРОГРАММЫ ТУГУЛЫМСКОГО МУНИЦИПАЛЬНОГО ОКРУГА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«ДОПОЛНИТЕЛЬНЫЕ МЕРЫ СОЦИАЛЬНОЙ ПОДДЕРЖКИ НАСЕЛЕНИЯ ТУГУЛЫМСКОГО МУНИЦИПАЛЬНОГО ОКРУГА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ДО 2027 ГОДА»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15105" w:type="dxa"/>
        <w:jc w:val="start"/>
        <w:tblInd w:w="0" w:type="dxa"/>
        <w:tblLayout w:type="fixed"/>
        <w:tblCellMar>
          <w:top w:w="0" w:type="dxa"/>
          <w:start w:w="75" w:type="dxa"/>
          <w:bottom w:w="0" w:type="dxa"/>
          <w:end w:w="75" w:type="dxa"/>
        </w:tblCellMar>
        <w:tblLook w:val="04a0" w:noHBand="0" w:noVBand="1" w:firstColumn="1" w:lastRow="0" w:lastColumn="0" w:firstRow="1"/>
      </w:tblPr>
      <w:tblGrid>
        <w:gridCol w:w="934"/>
        <w:gridCol w:w="3139"/>
        <w:gridCol w:w="1008"/>
        <w:gridCol w:w="1009"/>
        <w:gridCol w:w="1009"/>
        <w:gridCol w:w="1009"/>
        <w:gridCol w:w="1009"/>
        <w:gridCol w:w="1009"/>
        <w:gridCol w:w="1009"/>
        <w:gridCol w:w="3970"/>
      </w:tblGrid>
      <w:tr>
        <w:trPr/>
        <w:tc>
          <w:tcPr>
            <w:tcW w:w="93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N   </w:t>
              <w:br/>
              <w:t>строки</w:t>
            </w:r>
          </w:p>
        </w:tc>
        <w:tc>
          <w:tcPr>
            <w:tcW w:w="313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мероприятия/</w:t>
              <w:br/>
              <w:t xml:space="preserve">   Источники расходов    </w:t>
              <w:br/>
              <w:t xml:space="preserve">    на финансирование    </w:t>
            </w:r>
          </w:p>
        </w:tc>
        <w:tc>
          <w:tcPr>
            <w:tcW w:w="7062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Номер строки </w:t>
              <w:br/>
              <w:t xml:space="preserve">   целевых   </w:t>
              <w:br/>
              <w:t xml:space="preserve">показателей, </w:t>
              <w:br/>
              <w:t>на достижение</w:t>
              <w:br/>
              <w:t xml:space="preserve">   которых   </w:t>
              <w:br/>
              <w:t xml:space="preserve"> направлены  </w:t>
              <w:br/>
              <w:t xml:space="preserve"> мероприятия</w:t>
            </w:r>
          </w:p>
        </w:tc>
      </w:tr>
      <w:tr>
        <w:trPr/>
        <w:tc>
          <w:tcPr>
            <w:tcW w:w="93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2027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МУНИЦИПАЛЬНОЙ</w:t>
              <w:br/>
              <w:t xml:space="preserve">ПРОГРАММЕ, В ТОМ ЧИСЛЕ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1" w:type="dxa"/>
            <w:gridSpan w:val="9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1. Капитальные вложения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направлению «капитальные вложения», в том числе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1" w:type="dxa"/>
            <w:gridSpan w:val="9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2. Научно-исследовательские и опытно-конструкторские работы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Всего по направлению «научно-исследовательские и опытно-конструкторские работы», в том числе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71" w:type="dxa"/>
            <w:gridSpan w:val="9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3.  Прочие нужды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Всего по направлению «Прочие нужды», в том числе   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3750,0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565,0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722,0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Мероприятие 1.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Оказание материальной помощи и компенсация расходов отдельным категориям граждан, в том числе кредиторская задолженность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2427,0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4,5,7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2427,0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482,0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внебюджетные источники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1.1. Оказание экстренной  материальной адресной  помощи  гражданам, оказавшимся в трудной жизненной ситуации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FF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FF0000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4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Оказание материальной помощи на ремонт квартир инвалидам ВОВ, участникам ВОВ, не имеющим дополнительных мер социальной поддержки по постановлению Правительства Свердловской области от 12.07.2011г № 909-ПП и одиноко проживающим труженикам тыла, вдовам участников, инвалидов ВОВ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5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1.3.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Компенсация расходов по доставке граждан допризывного, призывного возраста в Отдел военного комиссариата Свердловской области для прохождения призывной комиссии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7</w:t>
            </w:r>
          </w:p>
        </w:tc>
      </w:tr>
      <w:tr>
        <w:trPr>
          <w:trHeight w:val="439" w:hRule="atLeast"/>
        </w:trPr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1.4.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выплата почетным гражданам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1467,0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7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1467,0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Мероприятие 2.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Социальная поддержка общественных организаций.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1135,0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9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1135,0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Мероприятие 3.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Дополнительные меры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социальной поддержки для работников муниципальных учреждений: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6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3.1. Приобретение квартиры для работников муниципальных учреждений культуры, образования, сферы ЖКХ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6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Мероприятие 4.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Проведение социально-значимых мероприятий.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4.1. Приобретение подарков для поздравления с юбилеями ветеранов ВОВ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4.2. Рождественская елка для детей СРЦН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4.3. Декада Белой трости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>
          <w:trHeight w:val="900" w:hRule="atLeast"/>
        </w:trPr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4.4. Организация и проведение новогодних мероприятий для детей мобилизованных граждан, а также для детей, попавших в трудную жизненную ситуацию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4.5. Организация благотворительных акций во Всероссийскую Неделю Добра, День защиты детей, День знаний, Дней милосердия.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местный бюджет           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4.6. Приобретение СИЗ для проведения социально значимых мероприятий и (или) организации деятельности волонтеров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x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4.7. Юбилейная дата со дня создания районной ветеранской организации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534" w:hRule="atLeast"/>
        </w:trPr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Мероприятие 5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 Обеспечение беспрепятственного доступа инвалидов к объектам муниципальной собственности (изготовление и приобретение знаков, табличек, надписей)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1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6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216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432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648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4546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67960-51E6-4425-944E-DC822BD7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LibreOffice/25.8.1.1$Linux_X86_64 LibreOffice_project/54047653041915e595ad4e45cccea684809c77b5</Application>
  <AppVersion>15.0000</AppVersion>
  <Pages>5</Pages>
  <Words>877</Words>
  <Characters>4456</Characters>
  <CharactersWithSpaces>5030</CharactersWithSpaces>
  <Paragraphs>546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2025-10-16T10:01:00Z</dcterms:created>
  <dc:creator>Ольга Шилкова</dc:creator>
  <dc:description/>
  <dc:language>ru-RU</dc:language>
  <cp:lastModifiedBy/>
  <cp:lastPrinted>2025-10-16T09:55:00Z</cp:lastPrinted>
  <dcterms:modified xsi:type="dcterms:W3CDTF">2025-10-29T09:54:42Z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